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4CD5" w14:textId="1A26448A" w:rsidR="00D37048" w:rsidRDefault="00D37048" w:rsidP="00D37048">
      <w:pPr>
        <w:rPr>
          <w:color w:val="27AAE1" w:themeColor="accent3"/>
        </w:rPr>
      </w:pPr>
      <w:r w:rsidRPr="54CC2F19">
        <w:rPr>
          <w:rStyle w:val="Strong"/>
          <w:color w:val="27A9E1"/>
        </w:rPr>
        <w:t>[Full name of housing co-op or letterhead]</w:t>
      </w:r>
    </w:p>
    <w:p w14:paraId="1C08FE54" w14:textId="08C44FC2" w:rsidR="00C71A36" w:rsidRDefault="00916F44" w:rsidP="4AABF0F6">
      <w:pPr>
        <w:rPr>
          <w:rFonts w:eastAsiaTheme="majorEastAsia" w:cstheme="majorBidi"/>
          <w:b/>
          <w:color w:val="314673" w:themeColor="text2"/>
          <w:sz w:val="40"/>
          <w:szCs w:val="40"/>
        </w:rPr>
      </w:pPr>
      <w:r w:rsidRPr="001C199B">
        <w:rPr>
          <w:rStyle w:val="cf01"/>
          <w:noProof/>
        </w:rPr>
        <mc:AlternateContent>
          <mc:Choice Requires="wps">
            <w:drawing>
              <wp:anchor distT="45720" distB="45720" distL="114300" distR="114300" simplePos="0" relativeHeight="251659264" behindDoc="0" locked="0" layoutInCell="1" allowOverlap="1" wp14:anchorId="4959DD8D" wp14:editId="6F6F7AA3">
                <wp:simplePos x="0" y="0"/>
                <wp:positionH relativeFrom="margin">
                  <wp:align>left</wp:align>
                </wp:positionH>
                <wp:positionV relativeFrom="paragraph">
                  <wp:posOffset>476250</wp:posOffset>
                </wp:positionV>
                <wp:extent cx="6663055" cy="140462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404620"/>
                        </a:xfrm>
                        <a:prstGeom prst="rect">
                          <a:avLst/>
                        </a:prstGeom>
                        <a:solidFill>
                          <a:srgbClr val="FFFFFF"/>
                        </a:solidFill>
                        <a:ln w="9525">
                          <a:solidFill>
                            <a:srgbClr val="000000"/>
                          </a:solidFill>
                          <a:miter lim="800000"/>
                          <a:headEnd/>
                          <a:tailEnd/>
                        </a:ln>
                      </wps:spPr>
                      <wps:txbx>
                        <w:txbxContent>
                          <w:p w14:paraId="4EAACC23" w14:textId="2902FE54" w:rsidR="003F280D" w:rsidRPr="00810AC6" w:rsidRDefault="003F280D" w:rsidP="001478A7">
                            <w:pPr>
                              <w:rPr>
                                <w:rStyle w:val="cf01"/>
                                <w:rFonts w:ascii="Lato" w:hAnsi="Lato"/>
                                <w:color w:val="27AAE1" w:themeColor="accent3"/>
                                <w:sz w:val="22"/>
                                <w:szCs w:val="22"/>
                              </w:rPr>
                            </w:pPr>
                            <w:r w:rsidRPr="00810AC6">
                              <w:rPr>
                                <w:rStyle w:val="cf01"/>
                                <w:rFonts w:ascii="Lato" w:hAnsi="Lato"/>
                                <w:color w:val="27AAE1" w:themeColor="accent3"/>
                                <w:sz w:val="22"/>
                                <w:szCs w:val="22"/>
                              </w:rPr>
                              <w:t xml:space="preserve">Note: this box should be </w:t>
                            </w:r>
                            <w:r w:rsidR="00F73443" w:rsidRPr="00810AC6">
                              <w:rPr>
                                <w:rStyle w:val="cf01"/>
                                <w:rFonts w:ascii="Lato" w:hAnsi="Lato"/>
                                <w:color w:val="27AAE1" w:themeColor="accent3"/>
                                <w:sz w:val="22"/>
                                <w:szCs w:val="22"/>
                              </w:rPr>
                              <w:t>removed</w:t>
                            </w:r>
                            <w:r w:rsidRPr="00810AC6">
                              <w:rPr>
                                <w:rStyle w:val="cf01"/>
                                <w:rFonts w:ascii="Lato" w:hAnsi="Lato"/>
                                <w:color w:val="27AAE1" w:themeColor="accent3"/>
                                <w:sz w:val="22"/>
                                <w:szCs w:val="22"/>
                              </w:rPr>
                              <w:t xml:space="preserve"> once your co-op has personalized the text in the main body of the guidelines.</w:t>
                            </w:r>
                          </w:p>
                          <w:p w14:paraId="045C0CAC" w14:textId="77777777" w:rsidR="007F7D41" w:rsidRPr="007F7D41" w:rsidRDefault="007F7D41" w:rsidP="007F7D41">
                            <w:pPr>
                              <w:rPr>
                                <w:sz w:val="22"/>
                                <w:szCs w:val="22"/>
                                <w:lang w:val="en-US"/>
                              </w:rPr>
                            </w:pPr>
                            <w:r w:rsidRPr="007F7D41">
                              <w:rPr>
                                <w:sz w:val="22"/>
                                <w:szCs w:val="22"/>
                                <w:lang w:val="en-US"/>
                              </w:rPr>
                              <w:t xml:space="preserve">This resource is intended for co-ops that have adopted Model Rules 2.0, including its schedule, the Occupancy Agreement (“OA”). Please check the language used in your Rules before proceeding. </w:t>
                            </w:r>
                          </w:p>
                          <w:p w14:paraId="5A5ED6EF" w14:textId="77777777" w:rsidR="007F7D41" w:rsidRPr="007F7D41" w:rsidRDefault="007F7D41" w:rsidP="007F7D41">
                            <w:pPr>
                              <w:pStyle w:val="CCLBulletLists"/>
                              <w:rPr>
                                <w:sz w:val="22"/>
                                <w:szCs w:val="22"/>
                                <w:lang w:val="en-US"/>
                              </w:rPr>
                            </w:pPr>
                            <w:r w:rsidRPr="007F7D41">
                              <w:rPr>
                                <w:sz w:val="22"/>
                                <w:szCs w:val="22"/>
                                <w:lang w:val="en-US"/>
                              </w:rPr>
                              <w:t xml:space="preserve">Elements </w:t>
                            </w:r>
                            <w:r w:rsidRPr="007F7D41">
                              <w:rPr>
                                <w:i/>
                                <w:iCs/>
                                <w:sz w:val="22"/>
                                <w:szCs w:val="22"/>
                                <w:lang w:val="en-US"/>
                              </w:rPr>
                              <w:t xml:space="preserve">italicized </w:t>
                            </w:r>
                            <w:r w:rsidRPr="007F7D41">
                              <w:rPr>
                                <w:sz w:val="22"/>
                                <w:szCs w:val="22"/>
                                <w:lang w:val="en-US"/>
                              </w:rPr>
                              <w:t>in square brackets are for context. These should generally be removed. Non-italicized text in square brackets may be retained or adjusted.</w:t>
                            </w:r>
                          </w:p>
                          <w:p w14:paraId="03686E5D" w14:textId="77777777" w:rsidR="007F7D41" w:rsidRPr="007F7D41" w:rsidRDefault="007F7D41" w:rsidP="007F7D41">
                            <w:pPr>
                              <w:pStyle w:val="CCLBulletLists"/>
                              <w:rPr>
                                <w:sz w:val="22"/>
                                <w:szCs w:val="22"/>
                                <w:lang w:val="en-US"/>
                              </w:rPr>
                            </w:pPr>
                            <w:r w:rsidRPr="007F7D41">
                              <w:rPr>
                                <w:sz w:val="22"/>
                                <w:szCs w:val="22"/>
                                <w:lang w:val="en-US"/>
                              </w:rPr>
                              <w:t xml:space="preserve">The </w:t>
                            </w:r>
                            <w:r w:rsidRPr="007F7D41">
                              <w:rPr>
                                <w:sz w:val="22"/>
                                <w:szCs w:val="22"/>
                                <w:highlight w:val="yellow"/>
                                <w:lang w:val="en-US"/>
                              </w:rPr>
                              <w:t>yellow</w:t>
                            </w:r>
                            <w:r w:rsidRPr="007F7D41">
                              <w:rPr>
                                <w:sz w:val="22"/>
                                <w:szCs w:val="22"/>
                                <w:lang w:val="en-US"/>
                              </w:rPr>
                              <w:t xml:space="preserve">-highlighted items must be verified for alignment with your co-op’s Rules; if the section references provided are different from those in your co-op’s Rules, please adjust accordingly. </w:t>
                            </w:r>
                          </w:p>
                          <w:p w14:paraId="585E899A" w14:textId="77777777" w:rsidR="007F7D41" w:rsidRPr="007F7D41" w:rsidRDefault="007F7D41" w:rsidP="007F7D41">
                            <w:pPr>
                              <w:pStyle w:val="CCLBulletLists"/>
                              <w:rPr>
                                <w:sz w:val="22"/>
                                <w:szCs w:val="22"/>
                                <w:lang w:val="en-US"/>
                              </w:rPr>
                            </w:pPr>
                            <w:r w:rsidRPr="007F7D41">
                              <w:rPr>
                                <w:sz w:val="22"/>
                                <w:szCs w:val="22"/>
                                <w:lang w:val="en-US"/>
                              </w:rPr>
                              <w:t xml:space="preserve">The </w:t>
                            </w:r>
                            <w:r w:rsidRPr="007F7D41">
                              <w:rPr>
                                <w:sz w:val="22"/>
                                <w:szCs w:val="22"/>
                                <w:highlight w:val="green"/>
                                <w:lang w:val="en-US"/>
                              </w:rPr>
                              <w:t>green</w:t>
                            </w:r>
                            <w:r w:rsidRPr="007F7D41">
                              <w:rPr>
                                <w:sz w:val="22"/>
                                <w:szCs w:val="22"/>
                                <w:lang w:val="en-US"/>
                              </w:rPr>
                              <w:t>-highlighted items should be adjusted to your co-op’s preferences. Choose the option(s) that works best for your co-op.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9DD8D" id="_x0000_t202" coordsize="21600,21600" o:spt="202" path="m,l,21600r21600,l21600,xe">
                <v:stroke joinstyle="miter"/>
                <v:path gradientshapeok="t" o:connecttype="rect"/>
              </v:shapetype>
              <v:shape id="Text Box 2" o:spid="_x0000_s1026" type="#_x0000_t202" style="position:absolute;margin-left:0;margin-top:37.5pt;width:524.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fhEg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l8vX+WLBmSTbdJ7Pl7NUlkwUj9cd+vBeQcfiouRIVU3y4nDvQwxHFI8u8TUPRtdbbUza&#10;4K7aGGQHQR2wTSNl8MzNWNaX/HoxW4wE/iqRp/EniU4HamWju5JfnZ1EEbm9s3VqtCC0GdcUsrEn&#10;kJHdSDEM1UCOEWgF9ZGQIowtS1+MFi3gT856ateS+x97gYoz88FSWa6n83ns77SZL94QQ4aXlurS&#10;IqwkqZIHzsblJqQ/kYC5WyrfViewT5GcYqU2TLxPXyb2+eU+eT197PUvAAAA//8DAFBLAwQUAAYA&#10;CAAAACEAfMUdCt0AAAAIAQAADwAAAGRycy9kb3ducmV2LnhtbEyPwU7DMBBE70j8g7VIXCrqkJJA&#10;QzYVVOqJU0O5u/GSRMTrYLtt+ve4p3IarWY186ZcTWYQR3K+t4zwOE9AEDdW99wi7D43Dy8gfFCs&#10;1WCZEM7kYVXd3pSq0PbEWzrWoRUxhH2hELoQxkJK33RklJ/bkTh639YZFeLpWqmdOsVwM8g0SXJp&#10;VM+xoVMjrTtqfuqDQch/68Xs40vPeHvevLvGZHq9yxDv76a3VxCBpnB9hgt+RIcqMu3tgbUXA0Ic&#10;EhCes6gXN3laLkDsEdJlnoKsSvl/QPUHAAD//wMAUEsBAi0AFAAGAAgAAAAhALaDOJL+AAAA4QEA&#10;ABMAAAAAAAAAAAAAAAAAAAAAAFtDb250ZW50X1R5cGVzXS54bWxQSwECLQAUAAYACAAAACEAOP0h&#10;/9YAAACUAQAACwAAAAAAAAAAAAAAAAAvAQAAX3JlbHMvLnJlbHNQSwECLQAUAAYACAAAACEAIXVX&#10;4RICAAAgBAAADgAAAAAAAAAAAAAAAAAuAgAAZHJzL2Uyb0RvYy54bWxQSwECLQAUAAYACAAAACEA&#10;fMUdCt0AAAAIAQAADwAAAAAAAAAAAAAAAABsBAAAZHJzL2Rvd25yZXYueG1sUEsFBgAAAAAEAAQA&#10;8wAAAHYFAAAAAA==&#10;">
                <v:textbox style="mso-fit-shape-to-text:t">
                  <w:txbxContent>
                    <w:p w14:paraId="4EAACC23" w14:textId="2902FE54" w:rsidR="003F280D" w:rsidRPr="00810AC6" w:rsidRDefault="003F280D" w:rsidP="001478A7">
                      <w:pPr>
                        <w:rPr>
                          <w:rStyle w:val="cf01"/>
                          <w:rFonts w:ascii="Lato" w:hAnsi="Lato"/>
                          <w:color w:val="27AAE1" w:themeColor="accent3"/>
                          <w:sz w:val="22"/>
                          <w:szCs w:val="22"/>
                        </w:rPr>
                      </w:pPr>
                      <w:r w:rsidRPr="00810AC6">
                        <w:rPr>
                          <w:rStyle w:val="cf01"/>
                          <w:rFonts w:ascii="Lato" w:hAnsi="Lato"/>
                          <w:color w:val="27AAE1" w:themeColor="accent3"/>
                          <w:sz w:val="22"/>
                          <w:szCs w:val="22"/>
                        </w:rPr>
                        <w:t xml:space="preserve">Note: this box should be </w:t>
                      </w:r>
                      <w:r w:rsidR="00F73443" w:rsidRPr="00810AC6">
                        <w:rPr>
                          <w:rStyle w:val="cf01"/>
                          <w:rFonts w:ascii="Lato" w:hAnsi="Lato"/>
                          <w:color w:val="27AAE1" w:themeColor="accent3"/>
                          <w:sz w:val="22"/>
                          <w:szCs w:val="22"/>
                        </w:rPr>
                        <w:t>removed</w:t>
                      </w:r>
                      <w:r w:rsidRPr="00810AC6">
                        <w:rPr>
                          <w:rStyle w:val="cf01"/>
                          <w:rFonts w:ascii="Lato" w:hAnsi="Lato"/>
                          <w:color w:val="27AAE1" w:themeColor="accent3"/>
                          <w:sz w:val="22"/>
                          <w:szCs w:val="22"/>
                        </w:rPr>
                        <w:t xml:space="preserve"> once your co-op has personalized the text in the main body of the guidelines.</w:t>
                      </w:r>
                    </w:p>
                    <w:p w14:paraId="045C0CAC" w14:textId="77777777" w:rsidR="007F7D41" w:rsidRPr="007F7D41" w:rsidRDefault="007F7D41" w:rsidP="007F7D41">
                      <w:pPr>
                        <w:rPr>
                          <w:sz w:val="22"/>
                          <w:szCs w:val="22"/>
                          <w:lang w:val="en-US"/>
                        </w:rPr>
                      </w:pPr>
                      <w:r w:rsidRPr="007F7D41">
                        <w:rPr>
                          <w:sz w:val="22"/>
                          <w:szCs w:val="22"/>
                          <w:lang w:val="en-US"/>
                        </w:rPr>
                        <w:t xml:space="preserve">This resource is intended for co-ops that have adopted Model Rules 2.0, including its schedule, the Occupancy Agreement (“OA”). Please check the language used in your Rules before proceeding. </w:t>
                      </w:r>
                    </w:p>
                    <w:p w14:paraId="5A5ED6EF" w14:textId="77777777" w:rsidR="007F7D41" w:rsidRPr="007F7D41" w:rsidRDefault="007F7D41" w:rsidP="007F7D41">
                      <w:pPr>
                        <w:pStyle w:val="CCLBulletLists"/>
                        <w:rPr>
                          <w:sz w:val="22"/>
                          <w:szCs w:val="22"/>
                          <w:lang w:val="en-US"/>
                        </w:rPr>
                      </w:pPr>
                      <w:r w:rsidRPr="007F7D41">
                        <w:rPr>
                          <w:sz w:val="22"/>
                          <w:szCs w:val="22"/>
                          <w:lang w:val="en-US"/>
                        </w:rPr>
                        <w:t xml:space="preserve">Elements </w:t>
                      </w:r>
                      <w:r w:rsidRPr="007F7D41">
                        <w:rPr>
                          <w:i/>
                          <w:iCs/>
                          <w:sz w:val="22"/>
                          <w:szCs w:val="22"/>
                          <w:lang w:val="en-US"/>
                        </w:rPr>
                        <w:t xml:space="preserve">italicized </w:t>
                      </w:r>
                      <w:r w:rsidRPr="007F7D41">
                        <w:rPr>
                          <w:sz w:val="22"/>
                          <w:szCs w:val="22"/>
                          <w:lang w:val="en-US"/>
                        </w:rPr>
                        <w:t>in square brackets are for context. These should generally be removed. Non-italicized text in square brackets may be retained or adjusted.</w:t>
                      </w:r>
                    </w:p>
                    <w:p w14:paraId="03686E5D" w14:textId="77777777" w:rsidR="007F7D41" w:rsidRPr="007F7D41" w:rsidRDefault="007F7D41" w:rsidP="007F7D41">
                      <w:pPr>
                        <w:pStyle w:val="CCLBulletLists"/>
                        <w:rPr>
                          <w:sz w:val="22"/>
                          <w:szCs w:val="22"/>
                          <w:lang w:val="en-US"/>
                        </w:rPr>
                      </w:pPr>
                      <w:r w:rsidRPr="007F7D41">
                        <w:rPr>
                          <w:sz w:val="22"/>
                          <w:szCs w:val="22"/>
                          <w:lang w:val="en-US"/>
                        </w:rPr>
                        <w:t xml:space="preserve">The </w:t>
                      </w:r>
                      <w:r w:rsidRPr="007F7D41">
                        <w:rPr>
                          <w:sz w:val="22"/>
                          <w:szCs w:val="22"/>
                          <w:highlight w:val="yellow"/>
                          <w:lang w:val="en-US"/>
                        </w:rPr>
                        <w:t>yellow</w:t>
                      </w:r>
                      <w:r w:rsidRPr="007F7D41">
                        <w:rPr>
                          <w:sz w:val="22"/>
                          <w:szCs w:val="22"/>
                          <w:lang w:val="en-US"/>
                        </w:rPr>
                        <w:t xml:space="preserve">-highlighted items must be verified for alignment with your co-op’s Rules; if the section references provided are different from those in your co-op’s Rules, please adjust accordingly. </w:t>
                      </w:r>
                    </w:p>
                    <w:p w14:paraId="585E899A" w14:textId="77777777" w:rsidR="007F7D41" w:rsidRPr="007F7D41" w:rsidRDefault="007F7D41" w:rsidP="007F7D41">
                      <w:pPr>
                        <w:pStyle w:val="CCLBulletLists"/>
                        <w:rPr>
                          <w:sz w:val="22"/>
                          <w:szCs w:val="22"/>
                          <w:lang w:val="en-US"/>
                        </w:rPr>
                      </w:pPr>
                      <w:r w:rsidRPr="007F7D41">
                        <w:rPr>
                          <w:sz w:val="22"/>
                          <w:szCs w:val="22"/>
                          <w:lang w:val="en-US"/>
                        </w:rPr>
                        <w:t xml:space="preserve">The </w:t>
                      </w:r>
                      <w:r w:rsidRPr="007F7D41">
                        <w:rPr>
                          <w:sz w:val="22"/>
                          <w:szCs w:val="22"/>
                          <w:highlight w:val="green"/>
                          <w:lang w:val="en-US"/>
                        </w:rPr>
                        <w:t>green</w:t>
                      </w:r>
                      <w:r w:rsidRPr="007F7D41">
                        <w:rPr>
                          <w:sz w:val="22"/>
                          <w:szCs w:val="22"/>
                          <w:lang w:val="en-US"/>
                        </w:rPr>
                        <w:t>-highlighted items should be adjusted to your co-op’s preferences. Choose the option(s) that works best for your co-op.</w:t>
                      </w:r>
                    </w:p>
                  </w:txbxContent>
                </v:textbox>
                <w10:wrap type="square" anchorx="margin"/>
              </v:shape>
            </w:pict>
          </mc:Fallback>
        </mc:AlternateContent>
      </w:r>
      <w:r w:rsidR="00E02CBD" w:rsidRPr="00E02CBD">
        <w:rPr>
          <w:rFonts w:eastAsiaTheme="majorEastAsia" w:cstheme="majorBidi"/>
          <w:b/>
          <w:color w:val="314673" w:themeColor="text2"/>
          <w:sz w:val="40"/>
          <w:szCs w:val="40"/>
        </w:rPr>
        <w:t xml:space="preserve">Guidelines for Difficult Times: Member </w:t>
      </w:r>
      <w:r w:rsidR="0087761C">
        <w:rPr>
          <w:rFonts w:eastAsiaTheme="majorEastAsia" w:cstheme="majorBidi"/>
          <w:b/>
          <w:color w:val="314673" w:themeColor="text2"/>
          <w:sz w:val="40"/>
          <w:szCs w:val="40"/>
        </w:rPr>
        <w:t>Placement</w:t>
      </w:r>
      <w:r w:rsidR="006922E8">
        <w:rPr>
          <w:rFonts w:eastAsiaTheme="majorEastAsia" w:cstheme="majorBidi"/>
          <w:b/>
          <w:color w:val="314673" w:themeColor="text2"/>
          <w:sz w:val="40"/>
          <w:szCs w:val="40"/>
        </w:rPr>
        <w:t>s</w:t>
      </w:r>
      <w:r w:rsidR="0087761C">
        <w:rPr>
          <w:rFonts w:eastAsiaTheme="majorEastAsia" w:cstheme="majorBidi"/>
          <w:b/>
          <w:color w:val="314673" w:themeColor="text2"/>
          <w:sz w:val="40"/>
          <w:szCs w:val="40"/>
        </w:rPr>
        <w:t xml:space="preserve"> in </w:t>
      </w:r>
      <w:r w:rsidR="0053684C">
        <w:rPr>
          <w:rFonts w:eastAsiaTheme="majorEastAsia" w:cstheme="majorBidi"/>
          <w:b/>
          <w:color w:val="314673" w:themeColor="text2"/>
          <w:sz w:val="40"/>
          <w:szCs w:val="40"/>
        </w:rPr>
        <w:t>C</w:t>
      </w:r>
      <w:r w:rsidR="0087761C">
        <w:rPr>
          <w:rFonts w:eastAsiaTheme="majorEastAsia" w:cstheme="majorBidi"/>
          <w:b/>
          <w:color w:val="314673" w:themeColor="text2"/>
          <w:sz w:val="40"/>
          <w:szCs w:val="40"/>
        </w:rPr>
        <w:t>are</w:t>
      </w:r>
    </w:p>
    <w:p w14:paraId="596120F7" w14:textId="77777777" w:rsidR="003F280D" w:rsidRDefault="003F280D" w:rsidP="4AABF0F6">
      <w:pPr>
        <w:rPr>
          <w:rStyle w:val="Strong"/>
        </w:rPr>
      </w:pPr>
    </w:p>
    <w:p w14:paraId="3B2CE50A" w14:textId="445B8B85" w:rsidR="00EA4273" w:rsidRDefault="00EA4273" w:rsidP="00EA4273">
      <w:pPr>
        <w:pStyle w:val="CCLNumberList"/>
        <w:numPr>
          <w:ilvl w:val="0"/>
          <w:numId w:val="0"/>
        </w:numPr>
        <w:rPr>
          <w:rFonts w:eastAsiaTheme="majorEastAsia" w:cstheme="majorBidi"/>
          <w:b/>
          <w:color w:val="314673" w:themeColor="text2"/>
          <w:sz w:val="26"/>
          <w:szCs w:val="28"/>
        </w:rPr>
      </w:pPr>
      <w:r w:rsidRPr="00EA4273">
        <w:rPr>
          <w:rFonts w:eastAsiaTheme="majorEastAsia" w:cstheme="majorBidi"/>
          <w:b/>
          <w:color w:val="314673" w:themeColor="text2"/>
          <w:sz w:val="26"/>
          <w:szCs w:val="28"/>
        </w:rPr>
        <w:t>Purpose of the guidelines</w:t>
      </w:r>
    </w:p>
    <w:p w14:paraId="672D4CCB" w14:textId="77777777" w:rsidR="00864927" w:rsidRPr="00853A32" w:rsidRDefault="00864927" w:rsidP="00864927">
      <w:pPr>
        <w:rPr>
          <w:lang w:val="en-US"/>
        </w:rPr>
      </w:pPr>
      <w:r w:rsidRPr="00853A32">
        <w:rPr>
          <w:lang w:val="en-US"/>
        </w:rPr>
        <w:t xml:space="preserve">This procedure is designed to meet the </w:t>
      </w:r>
      <w:r>
        <w:rPr>
          <w:lang w:val="en-US"/>
        </w:rPr>
        <w:t>Co-op’s obligation to protect its property and the goal of maintaining</w:t>
      </w:r>
      <w:r w:rsidRPr="00853A32">
        <w:rPr>
          <w:lang w:val="en-US"/>
        </w:rPr>
        <w:t xml:space="preserve"> members’ property. These guidelines will function best where the Co-op has up-to-date emergency contact forms for all co-op members and regular wellness checks on vulnerable members and those who reside alone.</w:t>
      </w:r>
    </w:p>
    <w:p w14:paraId="4FE801BB" w14:textId="77777777" w:rsidR="00864927" w:rsidRPr="00853A32" w:rsidRDefault="00864927" w:rsidP="00864927">
      <w:pPr>
        <w:rPr>
          <w:lang w:val="en-US"/>
        </w:rPr>
      </w:pPr>
      <w:r w:rsidRPr="00853A32">
        <w:rPr>
          <w:rFonts w:cstheme="minorHAnsi"/>
        </w:rPr>
        <w:t>This procedure applies to members who live alone.</w:t>
      </w:r>
    </w:p>
    <w:p w14:paraId="5EAFC3D1" w14:textId="77777777" w:rsidR="000B5EC3" w:rsidRPr="00864927" w:rsidRDefault="000B5EC3" w:rsidP="00EA4273">
      <w:pPr>
        <w:pStyle w:val="CCLNumberList"/>
        <w:numPr>
          <w:ilvl w:val="0"/>
          <w:numId w:val="0"/>
        </w:numPr>
        <w:rPr>
          <w:lang w:val="en-US"/>
        </w:rPr>
      </w:pPr>
    </w:p>
    <w:p w14:paraId="5B5E73D9" w14:textId="69118923" w:rsidR="00547A2D" w:rsidRDefault="0053079D" w:rsidP="00D17B0A">
      <w:pPr>
        <w:pStyle w:val="CCLNumberList"/>
        <w:numPr>
          <w:ilvl w:val="0"/>
          <w:numId w:val="0"/>
        </w:numPr>
        <w:rPr>
          <w:rFonts w:eastAsiaTheme="majorEastAsia" w:cstheme="majorBidi"/>
          <w:b/>
          <w:color w:val="314673" w:themeColor="text2"/>
          <w:sz w:val="26"/>
          <w:szCs w:val="28"/>
        </w:rPr>
      </w:pPr>
      <w:r w:rsidRPr="0053079D">
        <w:rPr>
          <w:rFonts w:eastAsiaTheme="majorEastAsia" w:cstheme="majorBidi"/>
          <w:b/>
          <w:color w:val="314673" w:themeColor="text2"/>
          <w:sz w:val="26"/>
          <w:szCs w:val="28"/>
        </w:rPr>
        <w:t>A. Procedure when a Membe</w:t>
      </w:r>
      <w:r w:rsidRPr="00DB5063">
        <w:rPr>
          <w:rStyle w:val="Heading3Char"/>
        </w:rPr>
        <w:t xml:space="preserve">r </w:t>
      </w:r>
      <w:r w:rsidR="00B35D34" w:rsidRPr="00DB5063">
        <w:rPr>
          <w:rStyle w:val="Heading3Char"/>
        </w:rPr>
        <w:t>is in Respite, Rehabilitation or Extended Care</w:t>
      </w:r>
    </w:p>
    <w:p w14:paraId="0A1439AC" w14:textId="77777777" w:rsidR="00F325AB" w:rsidRPr="00F05D0C" w:rsidRDefault="00F325AB" w:rsidP="00F325AB">
      <w:pPr>
        <w:pStyle w:val="CCLNumberList"/>
      </w:pPr>
      <w:r w:rsidRPr="5F802EF3">
        <w:t xml:space="preserve">When informed that a </w:t>
      </w:r>
      <w:r>
        <w:t>m</w:t>
      </w:r>
      <w:r w:rsidRPr="5F802EF3">
        <w:t>ember will be going into a form of long-term care, the Board determines:</w:t>
      </w:r>
    </w:p>
    <w:p w14:paraId="44F52DFC" w14:textId="77777777" w:rsidR="00F325AB" w:rsidRPr="00CD7C94" w:rsidRDefault="00F325AB" w:rsidP="00EC4396">
      <w:pPr>
        <w:pStyle w:val="CCLNumberList"/>
        <w:numPr>
          <w:ilvl w:val="1"/>
          <w:numId w:val="11"/>
        </w:numPr>
      </w:pPr>
      <w:r w:rsidRPr="00CD7C94">
        <w:t>Whether or not the member has a designated person, the member confirms their obligations under the Rules while away from the Unit.</w:t>
      </w:r>
    </w:p>
    <w:p w14:paraId="0CF206B9" w14:textId="77777777" w:rsidR="00F325AB" w:rsidRPr="00CD7C94" w:rsidRDefault="00F325AB" w:rsidP="00EC4396">
      <w:pPr>
        <w:pStyle w:val="CCLNumberList"/>
        <w:numPr>
          <w:ilvl w:val="1"/>
          <w:numId w:val="11"/>
        </w:numPr>
      </w:pPr>
      <w:r w:rsidRPr="00CD7C94">
        <w:t>If the Member will be returning and has designated someone (a “Designate”) to care for the unit (e.g., checking the fridge, electricity use, and water leaks), obtain the contact information for that person and confirm that they will check the unit weekly.</w:t>
      </w:r>
    </w:p>
    <w:p w14:paraId="3BF8A972" w14:textId="77777777" w:rsidR="00F325AB" w:rsidRPr="00CD7C94" w:rsidRDefault="00F325AB" w:rsidP="00EC4396">
      <w:pPr>
        <w:pStyle w:val="CCLNumberList"/>
        <w:numPr>
          <w:ilvl w:val="1"/>
          <w:numId w:val="11"/>
        </w:numPr>
        <w:rPr>
          <w:rFonts w:cstheme="minorHAnsi"/>
        </w:rPr>
      </w:pPr>
      <w:r w:rsidRPr="00CD7C94">
        <w:rPr>
          <w:rFonts w:cstheme="minorHAnsi"/>
        </w:rPr>
        <w:t xml:space="preserve">If </w:t>
      </w:r>
      <w:r w:rsidRPr="00CD7C94">
        <w:t>there is a pet, call the emergency contact person to take it; otherwise, the Co-op must make an arrangement that can be made through SPCA or a neighbour</w:t>
      </w:r>
      <w:r w:rsidRPr="00CD7C94">
        <w:rPr>
          <w:rFonts w:cstheme="minorHAnsi"/>
        </w:rPr>
        <w:t>.</w:t>
      </w:r>
    </w:p>
    <w:p w14:paraId="4D8943C5" w14:textId="77777777" w:rsidR="00F325AB" w:rsidRPr="00CD7C94" w:rsidRDefault="00F325AB" w:rsidP="00EC4396">
      <w:pPr>
        <w:pStyle w:val="CCLNumberList"/>
        <w:numPr>
          <w:ilvl w:val="1"/>
          <w:numId w:val="11"/>
        </w:numPr>
        <w:rPr>
          <w:rFonts w:cstheme="minorHAnsi"/>
        </w:rPr>
      </w:pPr>
      <w:r w:rsidRPr="00CD7C94">
        <w:lastRenderedPageBreak/>
        <w:t xml:space="preserve">When no designate is known to the Co-op, the </w:t>
      </w:r>
      <w:r w:rsidRPr="00CD7C94">
        <w:rPr>
          <w:rFonts w:cstheme="minorHAnsi"/>
          <w:highlight w:val="green"/>
        </w:rPr>
        <w:t>Board/management</w:t>
      </w:r>
      <w:r w:rsidRPr="00CD7C94">
        <w:t xml:space="preserve"> will enter and inspect the unit always with no fewer than two people together (</w:t>
      </w:r>
      <w:r w:rsidRPr="00CD7C94">
        <w:rPr>
          <w:highlight w:val="yellow"/>
        </w:rPr>
        <w:t>Occupancy Agreement</w:t>
      </w:r>
      <w:r w:rsidRPr="00CD7C94">
        <w:rPr>
          <w:rFonts w:cstheme="minorHAnsi"/>
          <w:highlight w:val="yellow"/>
        </w:rPr>
        <w:t xml:space="preserve"> </w:t>
      </w:r>
      <w:r w:rsidRPr="00CD7C94">
        <w:rPr>
          <w:highlight w:val="yellow"/>
        </w:rPr>
        <w:t>22.03</w:t>
      </w:r>
      <w:r w:rsidRPr="00CD7C94">
        <w:t>).</w:t>
      </w:r>
    </w:p>
    <w:p w14:paraId="25F9AFBD" w14:textId="77777777" w:rsidR="00F325AB" w:rsidRPr="00CD7C94" w:rsidRDefault="00F325AB" w:rsidP="00F325AB">
      <w:pPr>
        <w:pStyle w:val="CCLNumberList"/>
      </w:pPr>
      <w:r w:rsidRPr="00CD7C94">
        <w:t xml:space="preserve">When the Co-op has information for the contact person and learns that the Member is withdrawing their membership, the </w:t>
      </w:r>
      <w:r w:rsidRPr="00CD7C94">
        <w:rPr>
          <w:highlight w:val="green"/>
        </w:rPr>
        <w:t>Board/management</w:t>
      </w:r>
      <w:r w:rsidRPr="00CD7C94">
        <w:t xml:space="preserve"> provides a letter to the next of kin or power-of-attorney that includes the following information:</w:t>
      </w:r>
    </w:p>
    <w:p w14:paraId="76D7B0F6" w14:textId="77777777" w:rsidR="00F325AB" w:rsidRPr="00CD7C94" w:rsidRDefault="00F325AB" w:rsidP="00EC4396">
      <w:pPr>
        <w:pStyle w:val="CCLNumberList"/>
        <w:numPr>
          <w:ilvl w:val="1"/>
          <w:numId w:val="11"/>
        </w:numPr>
        <w:rPr>
          <w:rFonts w:cstheme="minorHAnsi"/>
        </w:rPr>
      </w:pPr>
      <w:r w:rsidRPr="00CD7C94">
        <w:t>Date of end of occupancy, including removal of contents (</w:t>
      </w:r>
      <w:r w:rsidRPr="00CD7C94">
        <w:rPr>
          <w:highlight w:val="yellow"/>
        </w:rPr>
        <w:t>Occupancy Agreement 17.01</w:t>
      </w:r>
      <w:r w:rsidRPr="00CD7C94">
        <w:t>)</w:t>
      </w:r>
    </w:p>
    <w:p w14:paraId="4BACBC43" w14:textId="77777777" w:rsidR="00F325AB" w:rsidRPr="00CD7C94" w:rsidRDefault="00F325AB" w:rsidP="00EC4396">
      <w:pPr>
        <w:pStyle w:val="CCLNumberList"/>
        <w:numPr>
          <w:ilvl w:val="1"/>
          <w:numId w:val="11"/>
        </w:numPr>
        <w:rPr>
          <w:rFonts w:cstheme="minorHAnsi"/>
        </w:rPr>
      </w:pPr>
      <w:r w:rsidRPr="00CD7C94">
        <w:t xml:space="preserve">Accounting of outstanding charges per the period referred to in A.2.a. and other charges (e.g., carpet cleaning, painting, </w:t>
      </w:r>
      <w:r w:rsidRPr="00CD7C94">
        <w:rPr>
          <w:rFonts w:cstheme="minorHAnsi"/>
        </w:rPr>
        <w:t>per Co-op’s policies</w:t>
      </w:r>
      <w:r w:rsidRPr="00CD7C94">
        <w:t>), all of which will be deducted from the member’s shares.</w:t>
      </w:r>
    </w:p>
    <w:p w14:paraId="3CBF2996" w14:textId="77777777" w:rsidR="00F325AB" w:rsidRPr="00CD7C94" w:rsidRDefault="00F325AB" w:rsidP="00EC4396">
      <w:pPr>
        <w:pStyle w:val="CCLNumberList"/>
        <w:numPr>
          <w:ilvl w:val="1"/>
          <w:numId w:val="11"/>
        </w:numPr>
        <w:rPr>
          <w:rFonts w:cstheme="minorHAnsi"/>
        </w:rPr>
      </w:pPr>
      <w:r w:rsidRPr="00CD7C94">
        <w:t xml:space="preserve">When the balance of shares </w:t>
      </w:r>
      <w:r w:rsidRPr="00CD7C94">
        <w:rPr>
          <w:rFonts w:cstheme="minorHAnsi"/>
        </w:rPr>
        <w:t>is expected to be</w:t>
      </w:r>
      <w:r w:rsidRPr="00CD7C94">
        <w:t xml:space="preserve"> issued.</w:t>
      </w:r>
    </w:p>
    <w:p w14:paraId="0CAB31C4" w14:textId="5497C969" w:rsidR="00F325AB" w:rsidRPr="00CD7C94" w:rsidRDefault="00EC4396" w:rsidP="00F325AB">
      <w:pPr>
        <w:pStyle w:val="CCLNumberList"/>
      </w:pPr>
      <w:r w:rsidRPr="00CD7C94">
        <w:rPr>
          <w:rFonts w:cstheme="minorHAnsi"/>
        </w:rPr>
        <w:t>The Co-op will restrict access to the unit</w:t>
      </w:r>
      <w:r w:rsidR="00F325AB" w:rsidRPr="00CD7C94">
        <w:rPr>
          <w:rFonts w:cstheme="minorHAnsi"/>
        </w:rPr>
        <w:t>.</w:t>
      </w:r>
    </w:p>
    <w:p w14:paraId="1EA0F09D" w14:textId="77777777" w:rsidR="00F325AB" w:rsidRPr="00CD7C94" w:rsidRDefault="00F325AB" w:rsidP="00CD7C94">
      <w:pPr>
        <w:pStyle w:val="CCLNumberList"/>
        <w:numPr>
          <w:ilvl w:val="1"/>
          <w:numId w:val="11"/>
        </w:numPr>
        <w:rPr>
          <w:rFonts w:cstheme="minorHAnsi"/>
        </w:rPr>
      </w:pPr>
      <w:r w:rsidRPr="00CD7C94">
        <w:rPr>
          <w:rFonts w:cstheme="minorHAnsi"/>
        </w:rPr>
        <w:t>Co-op representatives remain permitted to enter in case of emergencies [</w:t>
      </w:r>
      <w:r w:rsidRPr="00CD7C94">
        <w:rPr>
          <w:highlight w:val="yellow"/>
        </w:rPr>
        <w:t>Occupancy Agreement</w:t>
      </w:r>
      <w:r w:rsidRPr="00CD7C94">
        <w:rPr>
          <w:rFonts w:cstheme="minorHAnsi"/>
          <w:highlight w:val="yellow"/>
        </w:rPr>
        <w:t xml:space="preserve"> 22.01</w:t>
      </w:r>
      <w:r w:rsidRPr="00CD7C94">
        <w:rPr>
          <w:rFonts w:cstheme="minorHAnsi"/>
        </w:rPr>
        <w:t>]</w:t>
      </w:r>
    </w:p>
    <w:p w14:paraId="1F3B8AA8" w14:textId="77777777" w:rsidR="00F325AB" w:rsidRPr="00CD7C94" w:rsidRDefault="00F325AB" w:rsidP="00CD7C94">
      <w:pPr>
        <w:pStyle w:val="CCLNumberList"/>
        <w:numPr>
          <w:ilvl w:val="1"/>
          <w:numId w:val="11"/>
        </w:numPr>
        <w:rPr>
          <w:rFonts w:cstheme="minorHAnsi"/>
        </w:rPr>
      </w:pPr>
      <w:r w:rsidRPr="00CD7C94">
        <w:rPr>
          <w:rFonts w:cstheme="minorHAnsi"/>
        </w:rPr>
        <w:t>Co-op representatives may enter for non-emergency purposes as permitted by the Occupancy Agreement [</w:t>
      </w:r>
      <w:r w:rsidRPr="00CD7C94">
        <w:rPr>
          <w:rFonts w:cstheme="minorHAnsi"/>
          <w:highlight w:val="yellow"/>
        </w:rPr>
        <w:t>S.22.03</w:t>
      </w:r>
      <w:r w:rsidRPr="00CD7C94">
        <w:rPr>
          <w:rFonts w:cstheme="minorHAnsi"/>
        </w:rPr>
        <w:t xml:space="preserve">]. In these cases, </w:t>
      </w:r>
      <w:r w:rsidRPr="00CD7C94">
        <w:t>no fewer than two people together, possibly with the contact person.</w:t>
      </w:r>
    </w:p>
    <w:p w14:paraId="4A431DC8" w14:textId="77777777" w:rsidR="00F325AB" w:rsidRPr="00CD7C94" w:rsidRDefault="00F325AB" w:rsidP="00CD7C94">
      <w:pPr>
        <w:pStyle w:val="CCLNumberList"/>
        <w:numPr>
          <w:ilvl w:val="1"/>
          <w:numId w:val="11"/>
        </w:numPr>
        <w:rPr>
          <w:rFonts w:cstheme="minorHAnsi"/>
        </w:rPr>
      </w:pPr>
      <w:r w:rsidRPr="00CD7C94">
        <w:rPr>
          <w:highlight w:val="green"/>
        </w:rPr>
        <w:t>The Board/management</w:t>
      </w:r>
      <w:r w:rsidRPr="00CD7C94">
        <w:t xml:space="preserve"> will keep a tracking sheet of who enters the unit, with dates, times, and purposes.</w:t>
      </w:r>
    </w:p>
    <w:p w14:paraId="0BDA57D4" w14:textId="77777777" w:rsidR="00F325AB" w:rsidRPr="00CD7C94" w:rsidRDefault="00F325AB" w:rsidP="00F325AB">
      <w:pPr>
        <w:pStyle w:val="CCLNumberList"/>
      </w:pPr>
      <w:r w:rsidRPr="00CD7C94">
        <w:t xml:space="preserve">When the member is unable to direct the Co-op regarding their affairs, and there is no emergency contact information, the </w:t>
      </w:r>
      <w:r w:rsidRPr="00CD7C94">
        <w:rPr>
          <w:highlight w:val="green"/>
        </w:rPr>
        <w:t>Board/management</w:t>
      </w:r>
      <w:r w:rsidRPr="00CD7C94">
        <w:t xml:space="preserve"> contacts the nearest family member or personal contact the Co-op can locate to ask if they know of a Power of Attorney (POA) document or lawyer.</w:t>
      </w:r>
    </w:p>
    <w:p w14:paraId="52680F25" w14:textId="77777777" w:rsidR="00F325AB" w:rsidRPr="00CD7C94" w:rsidRDefault="00F325AB" w:rsidP="00CD7C94">
      <w:pPr>
        <w:pStyle w:val="CCLNumberList"/>
        <w:numPr>
          <w:ilvl w:val="1"/>
          <w:numId w:val="11"/>
        </w:numPr>
      </w:pPr>
      <w:r w:rsidRPr="00CD7C94">
        <w:t>When there is no POA or lawyer, the Co-op asks the Co-op’s lawyer for advice on how to proceed.</w:t>
      </w:r>
    </w:p>
    <w:p w14:paraId="7D19E1F1" w14:textId="77777777" w:rsidR="00F325AB" w:rsidRPr="00CD7C94" w:rsidRDefault="00F325AB" w:rsidP="00CD7C94">
      <w:pPr>
        <w:pStyle w:val="CCLNumberList"/>
        <w:numPr>
          <w:ilvl w:val="1"/>
          <w:numId w:val="11"/>
        </w:numPr>
      </w:pPr>
      <w:r w:rsidRPr="00CD7C94">
        <w:t>If, in the following few weeks, the Co-op learns of an appropriate contact person, the Co-op will share with them information about ending the Member’s membership.</w:t>
      </w:r>
    </w:p>
    <w:p w14:paraId="64FDE325" w14:textId="77777777" w:rsidR="00F325AB" w:rsidRPr="00CD7C94" w:rsidRDefault="00F325AB" w:rsidP="00F325AB">
      <w:pPr>
        <w:pStyle w:val="CCLNumberList"/>
      </w:pPr>
      <w:r w:rsidRPr="00CD7C94">
        <w:t xml:space="preserve">On advice from the Co-op’s lawyer, only the </w:t>
      </w:r>
      <w:r w:rsidRPr="00CD7C94">
        <w:rPr>
          <w:highlight w:val="green"/>
        </w:rPr>
        <w:t>Board, management, and/or relevant Committee representative</w:t>
      </w:r>
      <w:r w:rsidRPr="00CD7C94">
        <w:t xml:space="preserve"> enter to assess the unit. Entry during this period will always be with no fewer than two people together.</w:t>
      </w:r>
    </w:p>
    <w:p w14:paraId="1394F0F3" w14:textId="6C7FA873" w:rsidR="00A1603D" w:rsidRDefault="00F325AB" w:rsidP="00A1603D">
      <w:pPr>
        <w:pStyle w:val="CCLNumberList"/>
      </w:pPr>
      <w:r w:rsidRPr="00CD7C94">
        <w:t>Under the instruction of the Co-op’s lawyer, the Co-op will arrange contact with the care home or hospital to have some personal items taken to the facility (by no fewer than two people together). Thereafter, the unit will be prepared for the next Member.</w:t>
      </w:r>
    </w:p>
    <w:p w14:paraId="1AE208FE" w14:textId="239475DE" w:rsidR="00510ED7" w:rsidRPr="00CD7C94" w:rsidRDefault="00A1603D" w:rsidP="00A1603D">
      <w:pPr>
        <w:spacing w:after="160" w:line="278" w:lineRule="auto"/>
      </w:pPr>
      <w:r>
        <w:br w:type="page"/>
      </w:r>
    </w:p>
    <w:p w14:paraId="14A176E5" w14:textId="2F612B9E" w:rsidR="000F249E" w:rsidRDefault="0019322C" w:rsidP="0019322C">
      <w:pPr>
        <w:spacing w:before="120" w:after="120" w:line="240" w:lineRule="auto"/>
        <w:rPr>
          <w:rFonts w:eastAsiaTheme="majorEastAsia" w:cstheme="majorBidi"/>
          <w:b/>
          <w:color w:val="314673" w:themeColor="text2"/>
          <w:sz w:val="26"/>
          <w:szCs w:val="28"/>
        </w:rPr>
      </w:pPr>
      <w:r w:rsidRPr="0019322C">
        <w:rPr>
          <w:rFonts w:eastAsiaTheme="majorEastAsia" w:cstheme="majorBidi"/>
          <w:b/>
          <w:color w:val="314673" w:themeColor="text2"/>
          <w:sz w:val="26"/>
          <w:szCs w:val="28"/>
        </w:rPr>
        <w:lastRenderedPageBreak/>
        <w:t xml:space="preserve">B. Procedure when a Member </w:t>
      </w:r>
      <w:r w:rsidR="00A1603D">
        <w:rPr>
          <w:rFonts w:eastAsiaTheme="majorEastAsia" w:cstheme="majorBidi"/>
          <w:b/>
          <w:color w:val="314673" w:themeColor="text2"/>
          <w:sz w:val="26"/>
          <w:szCs w:val="28"/>
        </w:rPr>
        <w:t>is in Short-Term Care</w:t>
      </w:r>
    </w:p>
    <w:p w14:paraId="424E57FC" w14:textId="7C5E887A" w:rsidR="00293655" w:rsidRPr="003722F3" w:rsidRDefault="00293655" w:rsidP="00293655">
      <w:pPr>
        <w:pStyle w:val="CCLNumberList"/>
        <w:numPr>
          <w:ilvl w:val="0"/>
          <w:numId w:val="24"/>
        </w:numPr>
      </w:pPr>
      <w:r w:rsidRPr="003722F3">
        <w:t xml:space="preserve">When informed that a Member is in a hospital or other form of short-term care, the </w:t>
      </w:r>
      <w:r w:rsidRPr="00293655">
        <w:rPr>
          <w:highlight w:val="green"/>
        </w:rPr>
        <w:t>Board/management</w:t>
      </w:r>
      <w:r w:rsidRPr="003722F3">
        <w:t xml:space="preserve"> reaches out to the Member or their Designate to inform them that the access to their unit will be limited to whom they designate and to the Co-op in emergencies. (</w:t>
      </w:r>
      <w:r w:rsidRPr="00293655">
        <w:rPr>
          <w:highlight w:val="yellow"/>
        </w:rPr>
        <w:t>Occupancy Agreement 22.01</w:t>
      </w:r>
      <w:r w:rsidRPr="003722F3">
        <w:t>)</w:t>
      </w:r>
    </w:p>
    <w:p w14:paraId="529246EC" w14:textId="77777777" w:rsidR="00293655" w:rsidRPr="003722F3" w:rsidRDefault="00293655" w:rsidP="00293655">
      <w:pPr>
        <w:pStyle w:val="CCLNumberList"/>
        <w:numPr>
          <w:ilvl w:val="1"/>
          <w:numId w:val="11"/>
        </w:numPr>
      </w:pPr>
      <w:r w:rsidRPr="003722F3">
        <w:t>Whether or not the member has a designated person, the member confirms their obligations under the Rules while away from the Unit.</w:t>
      </w:r>
    </w:p>
    <w:p w14:paraId="50B7A68C" w14:textId="77777777" w:rsidR="00293655" w:rsidRPr="003722F3" w:rsidRDefault="00293655" w:rsidP="00293655">
      <w:pPr>
        <w:pStyle w:val="CCLNumberList"/>
        <w:numPr>
          <w:ilvl w:val="1"/>
          <w:numId w:val="11"/>
        </w:numPr>
      </w:pPr>
      <w:r w:rsidRPr="003722F3">
        <w:t>If the Member has designated someone (a “Designate”) to care for the unit (e.g., checking the fridge, electricity use and water leaks), obtain the contact information for that person and confirm that they will check the unit weekly.</w:t>
      </w:r>
    </w:p>
    <w:p w14:paraId="307D2865" w14:textId="77777777" w:rsidR="00293655" w:rsidRPr="003722F3" w:rsidRDefault="00293655" w:rsidP="00293655">
      <w:pPr>
        <w:pStyle w:val="CCLNumberList"/>
        <w:numPr>
          <w:ilvl w:val="1"/>
          <w:numId w:val="11"/>
        </w:numPr>
      </w:pPr>
      <w:r w:rsidRPr="003722F3">
        <w:t>If there is a pet, call the emergency contact person to take it; otherwise, the Co-op must make an arrangement that can be made through SPCA or a neighbour.</w:t>
      </w:r>
    </w:p>
    <w:p w14:paraId="4C8374DF" w14:textId="77777777" w:rsidR="00293655" w:rsidRPr="003722F3" w:rsidRDefault="00293655" w:rsidP="00293655">
      <w:pPr>
        <w:pStyle w:val="CCLNumberList"/>
        <w:numPr>
          <w:ilvl w:val="1"/>
          <w:numId w:val="11"/>
        </w:numPr>
      </w:pPr>
      <w:r w:rsidRPr="003722F3">
        <w:t xml:space="preserve">When no designate is known to the Co-op, the </w:t>
      </w:r>
      <w:r w:rsidRPr="003722F3">
        <w:rPr>
          <w:highlight w:val="green"/>
        </w:rPr>
        <w:t>Board/management</w:t>
      </w:r>
      <w:r w:rsidRPr="003722F3">
        <w:t xml:space="preserve"> will enter and inspect the unit always with no fewer than two people together (</w:t>
      </w:r>
      <w:r w:rsidRPr="003722F3">
        <w:rPr>
          <w:highlight w:val="yellow"/>
        </w:rPr>
        <w:t>Occupancy Agreement 22.03</w:t>
      </w:r>
      <w:r w:rsidRPr="003722F3">
        <w:t>).</w:t>
      </w:r>
    </w:p>
    <w:p w14:paraId="6A27621B" w14:textId="77777777" w:rsidR="00293655" w:rsidRPr="003722F3" w:rsidRDefault="00293655" w:rsidP="00293655">
      <w:pPr>
        <w:pStyle w:val="CCLNumberList"/>
      </w:pPr>
      <w:r w:rsidRPr="003722F3">
        <w:t>The Co-op may check with the Member to confirm their status of a return to the Co-op’s unit from time to time.</w:t>
      </w:r>
    </w:p>
    <w:p w14:paraId="4D55C1BA" w14:textId="53B03161" w:rsidR="000B5EC3" w:rsidRDefault="00293655" w:rsidP="0046261C">
      <w:pPr>
        <w:pStyle w:val="CCLNumberList"/>
        <w:rPr>
          <w:rFonts w:cstheme="minorHAnsi"/>
        </w:rPr>
      </w:pPr>
      <w:r w:rsidRPr="003722F3">
        <w:rPr>
          <w:rFonts w:cstheme="minorHAnsi"/>
        </w:rPr>
        <w:t xml:space="preserve">Any costs incurred by the Co-op will be charged to the Member. </w:t>
      </w:r>
    </w:p>
    <w:p w14:paraId="5D2701B6" w14:textId="3C79953C" w:rsidR="0046261C" w:rsidRDefault="0046261C">
      <w:pPr>
        <w:spacing w:after="160" w:line="278" w:lineRule="auto"/>
        <w:rPr>
          <w:rFonts w:cstheme="minorHAnsi"/>
        </w:rPr>
      </w:pPr>
      <w:r>
        <w:rPr>
          <w:rFonts w:cstheme="minorHAnsi"/>
        </w:rPr>
        <w:br w:type="page"/>
      </w:r>
    </w:p>
    <w:p w14:paraId="1F5EEAC7" w14:textId="2B1E9227" w:rsidR="0046261C" w:rsidRPr="0046261C" w:rsidRDefault="00612A1C" w:rsidP="0046261C">
      <w:pPr>
        <w:pStyle w:val="CCLNumberList"/>
        <w:numPr>
          <w:ilvl w:val="0"/>
          <w:numId w:val="0"/>
        </w:numPr>
        <w:jc w:val="center"/>
        <w:rPr>
          <w:rFonts w:cstheme="minorHAnsi"/>
        </w:rPr>
      </w:pPr>
      <w:r>
        <w:rPr>
          <w:rFonts w:cstheme="minorHAnsi"/>
          <w:noProof/>
        </w:rPr>
        <w:lastRenderedPageBreak/>
        <w:drawing>
          <wp:inline distT="0" distB="0" distL="0" distR="0" wp14:anchorId="4ED9B317" wp14:editId="10B859CB">
            <wp:extent cx="5943600" cy="7924800"/>
            <wp:effectExtent l="0" t="0" r="0" b="0"/>
            <wp:docPr id="1768413737" name="Picture 1" descr="A diagram of a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13737" name="Picture 1" descr="A diagram of a company's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46261C" w:rsidRPr="0046261C" w:rsidSect="005747C9">
      <w:headerReference w:type="even" r:id="rId9"/>
      <w:headerReference w:type="default" r:id="rId10"/>
      <w:footerReference w:type="even" r:id="rId11"/>
      <w:footerReference w:type="default" r:id="rId12"/>
      <w:headerReference w:type="first" r:id="rId13"/>
      <w:footerReference w:type="first" r:id="rId14"/>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278E" w14:textId="77777777" w:rsidR="00761CF1" w:rsidRDefault="00761CF1" w:rsidP="00E30E1E">
      <w:r>
        <w:separator/>
      </w:r>
    </w:p>
  </w:endnote>
  <w:endnote w:type="continuationSeparator" w:id="0">
    <w:p w14:paraId="3E5B63F9" w14:textId="77777777" w:rsidR="00761CF1" w:rsidRDefault="00761CF1"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8DE4FA"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1A250CD"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2969EA"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83AA" w14:textId="77777777" w:rsidR="00761CF1" w:rsidRDefault="00761CF1" w:rsidP="00E30E1E">
      <w:r>
        <w:separator/>
      </w:r>
    </w:p>
  </w:footnote>
  <w:footnote w:type="continuationSeparator" w:id="0">
    <w:p w14:paraId="39C3E49A" w14:textId="77777777" w:rsidR="00761CF1" w:rsidRDefault="00761CF1"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9BD09A"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2FA2215B"/>
    <w:multiLevelType w:val="hybridMultilevel"/>
    <w:tmpl w:val="F20A2B3C"/>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54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20D96"/>
    <w:multiLevelType w:val="hybridMultilevel"/>
    <w:tmpl w:val="C644A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ED21B9"/>
    <w:multiLevelType w:val="hybridMultilevel"/>
    <w:tmpl w:val="B69AB80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D65FAB"/>
    <w:multiLevelType w:val="hybridMultilevel"/>
    <w:tmpl w:val="260A8F32"/>
    <w:lvl w:ilvl="0" w:tplc="187CD238">
      <w:start w:val="1"/>
      <w:numFmt w:val="lowerLetter"/>
      <w:lvlText w:val="%1."/>
      <w:lvlJc w:val="left"/>
      <w:pPr>
        <w:ind w:left="1080" w:hanging="360"/>
      </w:pPr>
    </w:lvl>
    <w:lvl w:ilvl="1" w:tplc="4ADA2400">
      <w:start w:val="1"/>
      <w:numFmt w:val="lowerLetter"/>
      <w:lvlText w:val="%2."/>
      <w:lvlJc w:val="left"/>
      <w:pPr>
        <w:ind w:left="1800" w:hanging="360"/>
      </w:pPr>
    </w:lvl>
    <w:lvl w:ilvl="2" w:tplc="6DD628E0">
      <w:start w:val="1"/>
      <w:numFmt w:val="lowerRoman"/>
      <w:lvlText w:val="%3."/>
      <w:lvlJc w:val="right"/>
      <w:pPr>
        <w:ind w:left="2520" w:hanging="180"/>
      </w:pPr>
    </w:lvl>
    <w:lvl w:ilvl="3" w:tplc="6F4E5D7E">
      <w:start w:val="1"/>
      <w:numFmt w:val="decimal"/>
      <w:lvlText w:val="%4."/>
      <w:lvlJc w:val="left"/>
      <w:pPr>
        <w:ind w:left="3240" w:hanging="360"/>
      </w:pPr>
    </w:lvl>
    <w:lvl w:ilvl="4" w:tplc="2B6E74E8">
      <w:start w:val="1"/>
      <w:numFmt w:val="lowerLetter"/>
      <w:lvlText w:val="%5."/>
      <w:lvlJc w:val="left"/>
      <w:pPr>
        <w:ind w:left="3960" w:hanging="360"/>
      </w:pPr>
    </w:lvl>
    <w:lvl w:ilvl="5" w:tplc="7EE6D94E">
      <w:start w:val="1"/>
      <w:numFmt w:val="lowerRoman"/>
      <w:lvlText w:val="%6."/>
      <w:lvlJc w:val="right"/>
      <w:pPr>
        <w:ind w:left="4680" w:hanging="180"/>
      </w:pPr>
    </w:lvl>
    <w:lvl w:ilvl="6" w:tplc="42123B90">
      <w:start w:val="1"/>
      <w:numFmt w:val="decimal"/>
      <w:lvlText w:val="%7."/>
      <w:lvlJc w:val="left"/>
      <w:pPr>
        <w:ind w:left="5400" w:hanging="360"/>
      </w:pPr>
    </w:lvl>
    <w:lvl w:ilvl="7" w:tplc="6C1AB322">
      <w:start w:val="1"/>
      <w:numFmt w:val="lowerLetter"/>
      <w:lvlText w:val="%8."/>
      <w:lvlJc w:val="left"/>
      <w:pPr>
        <w:ind w:left="6120" w:hanging="360"/>
      </w:pPr>
    </w:lvl>
    <w:lvl w:ilvl="8" w:tplc="9C060FCC">
      <w:start w:val="1"/>
      <w:numFmt w:val="lowerRoman"/>
      <w:lvlText w:val="%9."/>
      <w:lvlJc w:val="right"/>
      <w:pPr>
        <w:ind w:left="6840" w:hanging="180"/>
      </w:pPr>
    </w:lvl>
  </w:abstractNum>
  <w:abstractNum w:abstractNumId="11" w15:restartNumberingAfterBreak="0">
    <w:nsid w:val="50743A88"/>
    <w:multiLevelType w:val="hybridMultilevel"/>
    <w:tmpl w:val="8FC60A2A"/>
    <w:lvl w:ilvl="0" w:tplc="0409000F">
      <w:start w:val="1"/>
      <w:numFmt w:val="decimal"/>
      <w:lvlText w:val="%1."/>
      <w:lvlJc w:val="left"/>
      <w:pPr>
        <w:ind w:left="2160" w:hanging="360"/>
      </w:pPr>
      <w:rPr>
        <w:rFonts w:hint="default"/>
      </w:rPr>
    </w:lvl>
    <w:lvl w:ilvl="1" w:tplc="04090019">
      <w:start w:val="1"/>
      <w:numFmt w:val="lowerLetter"/>
      <w:lvlText w:val="%2."/>
      <w:lvlJc w:val="left"/>
      <w:pPr>
        <w:ind w:left="64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7AE779F"/>
    <w:multiLevelType w:val="hybridMultilevel"/>
    <w:tmpl w:val="B69AB800"/>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F4CEA"/>
    <w:multiLevelType w:val="hybridMultilevel"/>
    <w:tmpl w:val="F83C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805E98"/>
    <w:multiLevelType w:val="multilevel"/>
    <w:tmpl w:val="77BE2452"/>
    <w:numStyleLink w:val="Style1"/>
  </w:abstractNum>
  <w:abstractNum w:abstractNumId="15" w15:restartNumberingAfterBreak="0">
    <w:nsid w:val="60EE4E7C"/>
    <w:multiLevelType w:val="multilevel"/>
    <w:tmpl w:val="77BE2452"/>
    <w:numStyleLink w:val="Style1"/>
  </w:abstractNum>
  <w:abstractNum w:abstractNumId="16" w15:restartNumberingAfterBreak="0">
    <w:nsid w:val="61595AEF"/>
    <w:multiLevelType w:val="multilevel"/>
    <w:tmpl w:val="77BE2452"/>
    <w:numStyleLink w:val="Style1"/>
  </w:abstractNum>
  <w:abstractNum w:abstractNumId="17"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567331">
    <w:abstractNumId w:val="10"/>
  </w:num>
  <w:num w:numId="2" w16cid:durableId="1084565743">
    <w:abstractNumId w:val="18"/>
  </w:num>
  <w:num w:numId="3" w16cid:durableId="355084740">
    <w:abstractNumId w:val="0"/>
  </w:num>
  <w:num w:numId="4" w16cid:durableId="1811170087">
    <w:abstractNumId w:val="16"/>
  </w:num>
  <w:num w:numId="5" w16cid:durableId="1235243169">
    <w:abstractNumId w:val="8"/>
  </w:num>
  <w:num w:numId="6" w16cid:durableId="2030133234">
    <w:abstractNumId w:val="3"/>
  </w:num>
  <w:num w:numId="7" w16cid:durableId="928126580">
    <w:abstractNumId w:val="4"/>
  </w:num>
  <w:num w:numId="8" w16cid:durableId="1952323130">
    <w:abstractNumId w:val="15"/>
  </w:num>
  <w:num w:numId="9" w16cid:durableId="935480784">
    <w:abstractNumId w:val="14"/>
  </w:num>
  <w:num w:numId="10" w16cid:durableId="1507405965">
    <w:abstractNumId w:val="9"/>
  </w:num>
  <w:num w:numId="11" w16cid:durableId="250510494">
    <w:abstractNumId w:val="1"/>
  </w:num>
  <w:num w:numId="12" w16cid:durableId="1463384975">
    <w:abstractNumId w:val="17"/>
  </w:num>
  <w:num w:numId="13" w16cid:durableId="1363895673">
    <w:abstractNumId w:val="2"/>
  </w:num>
  <w:num w:numId="14" w16cid:durableId="1332484526">
    <w:abstractNumId w:val="19"/>
  </w:num>
  <w:num w:numId="15" w16cid:durableId="1726178597">
    <w:abstractNumId w:val="1"/>
    <w:lvlOverride w:ilvl="0">
      <w:startOverride w:val="1"/>
    </w:lvlOverride>
  </w:num>
  <w:num w:numId="16" w16cid:durableId="1579099886">
    <w:abstractNumId w:val="6"/>
  </w:num>
  <w:num w:numId="17" w16cid:durableId="1057247065">
    <w:abstractNumId w:val="13"/>
  </w:num>
  <w:num w:numId="18" w16cid:durableId="997461734">
    <w:abstractNumId w:val="11"/>
  </w:num>
  <w:num w:numId="19" w16cid:durableId="328095663">
    <w:abstractNumId w:val="1"/>
    <w:lvlOverride w:ilvl="0">
      <w:startOverride w:val="1"/>
    </w:lvlOverride>
  </w:num>
  <w:num w:numId="20" w16cid:durableId="1053425840">
    <w:abstractNumId w:val="5"/>
  </w:num>
  <w:num w:numId="21" w16cid:durableId="379090745">
    <w:abstractNumId w:val="1"/>
    <w:lvlOverride w:ilvl="0">
      <w:startOverride w:val="1"/>
    </w:lvlOverride>
  </w:num>
  <w:num w:numId="22" w16cid:durableId="1155685959">
    <w:abstractNumId w:val="12"/>
  </w:num>
  <w:num w:numId="23" w16cid:durableId="973875420">
    <w:abstractNumId w:val="7"/>
  </w:num>
  <w:num w:numId="24" w16cid:durableId="10052069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104C"/>
    <w:rsid w:val="00042242"/>
    <w:rsid w:val="0004769E"/>
    <w:rsid w:val="00053605"/>
    <w:rsid w:val="0007412A"/>
    <w:rsid w:val="00075743"/>
    <w:rsid w:val="000840DF"/>
    <w:rsid w:val="0009615E"/>
    <w:rsid w:val="000B5EC3"/>
    <w:rsid w:val="000C186B"/>
    <w:rsid w:val="000F249E"/>
    <w:rsid w:val="000F34D3"/>
    <w:rsid w:val="0010279E"/>
    <w:rsid w:val="0011574F"/>
    <w:rsid w:val="00120988"/>
    <w:rsid w:val="0014022B"/>
    <w:rsid w:val="00141238"/>
    <w:rsid w:val="001478A7"/>
    <w:rsid w:val="001530BC"/>
    <w:rsid w:val="0019322C"/>
    <w:rsid w:val="001A4C8E"/>
    <w:rsid w:val="001D08B5"/>
    <w:rsid w:val="0020098E"/>
    <w:rsid w:val="0028CFDA"/>
    <w:rsid w:val="00293655"/>
    <w:rsid w:val="002C5CD5"/>
    <w:rsid w:val="002F2F1A"/>
    <w:rsid w:val="002F64B6"/>
    <w:rsid w:val="00370001"/>
    <w:rsid w:val="003C19E1"/>
    <w:rsid w:val="003E33B4"/>
    <w:rsid w:val="003F280D"/>
    <w:rsid w:val="003F4655"/>
    <w:rsid w:val="004279D0"/>
    <w:rsid w:val="00427B51"/>
    <w:rsid w:val="00442E93"/>
    <w:rsid w:val="0046261C"/>
    <w:rsid w:val="0048377C"/>
    <w:rsid w:val="00491831"/>
    <w:rsid w:val="004B132B"/>
    <w:rsid w:val="004C332D"/>
    <w:rsid w:val="004D6A7A"/>
    <w:rsid w:val="00500753"/>
    <w:rsid w:val="00506F66"/>
    <w:rsid w:val="00510ED7"/>
    <w:rsid w:val="00520636"/>
    <w:rsid w:val="0053079D"/>
    <w:rsid w:val="0053684C"/>
    <w:rsid w:val="00547A2D"/>
    <w:rsid w:val="00557248"/>
    <w:rsid w:val="0057446D"/>
    <w:rsid w:val="005747C9"/>
    <w:rsid w:val="00583437"/>
    <w:rsid w:val="005D3880"/>
    <w:rsid w:val="005D3E80"/>
    <w:rsid w:val="005E415E"/>
    <w:rsid w:val="005E5B91"/>
    <w:rsid w:val="005F5223"/>
    <w:rsid w:val="00612A1C"/>
    <w:rsid w:val="00624B5A"/>
    <w:rsid w:val="00625BD6"/>
    <w:rsid w:val="006454A3"/>
    <w:rsid w:val="00670074"/>
    <w:rsid w:val="006922E8"/>
    <w:rsid w:val="006B61DB"/>
    <w:rsid w:val="006C68CD"/>
    <w:rsid w:val="006C78EF"/>
    <w:rsid w:val="006D528B"/>
    <w:rsid w:val="006D6D7A"/>
    <w:rsid w:val="006E3443"/>
    <w:rsid w:val="006E37DE"/>
    <w:rsid w:val="00715A1A"/>
    <w:rsid w:val="00725D79"/>
    <w:rsid w:val="00730D50"/>
    <w:rsid w:val="0074300B"/>
    <w:rsid w:val="00752220"/>
    <w:rsid w:val="00761CF1"/>
    <w:rsid w:val="00764F54"/>
    <w:rsid w:val="007727E9"/>
    <w:rsid w:val="00774631"/>
    <w:rsid w:val="00790AA6"/>
    <w:rsid w:val="007B6846"/>
    <w:rsid w:val="007B7939"/>
    <w:rsid w:val="007C216C"/>
    <w:rsid w:val="007C2927"/>
    <w:rsid w:val="007C68D3"/>
    <w:rsid w:val="007E0280"/>
    <w:rsid w:val="007F7D41"/>
    <w:rsid w:val="00805D4E"/>
    <w:rsid w:val="00810AC6"/>
    <w:rsid w:val="00864927"/>
    <w:rsid w:val="00873EFD"/>
    <w:rsid w:val="0087761C"/>
    <w:rsid w:val="008C5100"/>
    <w:rsid w:val="008D521B"/>
    <w:rsid w:val="008F0CE3"/>
    <w:rsid w:val="00904111"/>
    <w:rsid w:val="00916F44"/>
    <w:rsid w:val="0095124C"/>
    <w:rsid w:val="00975FB7"/>
    <w:rsid w:val="009A414A"/>
    <w:rsid w:val="009A5E57"/>
    <w:rsid w:val="009E126C"/>
    <w:rsid w:val="009E44F5"/>
    <w:rsid w:val="00A06BB4"/>
    <w:rsid w:val="00A1603D"/>
    <w:rsid w:val="00A63285"/>
    <w:rsid w:val="00AA52AB"/>
    <w:rsid w:val="00AA713E"/>
    <w:rsid w:val="00AC6804"/>
    <w:rsid w:val="00AD59F3"/>
    <w:rsid w:val="00AE651D"/>
    <w:rsid w:val="00B21FE0"/>
    <w:rsid w:val="00B27058"/>
    <w:rsid w:val="00B35D34"/>
    <w:rsid w:val="00B37514"/>
    <w:rsid w:val="00B67125"/>
    <w:rsid w:val="00B848FE"/>
    <w:rsid w:val="00BA68D5"/>
    <w:rsid w:val="00BB0D58"/>
    <w:rsid w:val="00BC1951"/>
    <w:rsid w:val="00BC4208"/>
    <w:rsid w:val="00BD3139"/>
    <w:rsid w:val="00C3412D"/>
    <w:rsid w:val="00C426B3"/>
    <w:rsid w:val="00C42B46"/>
    <w:rsid w:val="00C430E0"/>
    <w:rsid w:val="00C465A3"/>
    <w:rsid w:val="00C568EE"/>
    <w:rsid w:val="00C60103"/>
    <w:rsid w:val="00C71A36"/>
    <w:rsid w:val="00C72850"/>
    <w:rsid w:val="00C96A98"/>
    <w:rsid w:val="00CB0B69"/>
    <w:rsid w:val="00CD7C94"/>
    <w:rsid w:val="00D17B0A"/>
    <w:rsid w:val="00D32F31"/>
    <w:rsid w:val="00D37048"/>
    <w:rsid w:val="00D70C2D"/>
    <w:rsid w:val="00D85949"/>
    <w:rsid w:val="00D87809"/>
    <w:rsid w:val="00D9239A"/>
    <w:rsid w:val="00D929CA"/>
    <w:rsid w:val="00DA258E"/>
    <w:rsid w:val="00DB5063"/>
    <w:rsid w:val="00DB5674"/>
    <w:rsid w:val="00DE365D"/>
    <w:rsid w:val="00DE7689"/>
    <w:rsid w:val="00DF3FA5"/>
    <w:rsid w:val="00E01BCC"/>
    <w:rsid w:val="00E02CBD"/>
    <w:rsid w:val="00E10114"/>
    <w:rsid w:val="00E30E1E"/>
    <w:rsid w:val="00E5377B"/>
    <w:rsid w:val="00E811B7"/>
    <w:rsid w:val="00EA4273"/>
    <w:rsid w:val="00EA5D42"/>
    <w:rsid w:val="00EC4396"/>
    <w:rsid w:val="00EE086E"/>
    <w:rsid w:val="00EF4C58"/>
    <w:rsid w:val="00F11B6B"/>
    <w:rsid w:val="00F12A69"/>
    <w:rsid w:val="00F14975"/>
    <w:rsid w:val="00F25BF9"/>
    <w:rsid w:val="00F325AB"/>
    <w:rsid w:val="00F330B5"/>
    <w:rsid w:val="00F464BB"/>
    <w:rsid w:val="00F47C9B"/>
    <w:rsid w:val="00F511FF"/>
    <w:rsid w:val="00F70891"/>
    <w:rsid w:val="00F73443"/>
    <w:rsid w:val="00FC0EF0"/>
    <w:rsid w:val="00FD2E06"/>
    <w:rsid w:val="00FE6407"/>
    <w:rsid w:val="013DE67C"/>
    <w:rsid w:val="048659A1"/>
    <w:rsid w:val="0A25663C"/>
    <w:rsid w:val="0A955D5A"/>
    <w:rsid w:val="0B052830"/>
    <w:rsid w:val="0D69C279"/>
    <w:rsid w:val="115D10A8"/>
    <w:rsid w:val="151C94CB"/>
    <w:rsid w:val="1590B7DB"/>
    <w:rsid w:val="15E596F5"/>
    <w:rsid w:val="19ED8555"/>
    <w:rsid w:val="1BACED2B"/>
    <w:rsid w:val="1C6CB811"/>
    <w:rsid w:val="2E6F4876"/>
    <w:rsid w:val="34BCFA99"/>
    <w:rsid w:val="384D86C0"/>
    <w:rsid w:val="3F80DB92"/>
    <w:rsid w:val="3F89D929"/>
    <w:rsid w:val="488F0A75"/>
    <w:rsid w:val="48E2EFB2"/>
    <w:rsid w:val="4AABF0F6"/>
    <w:rsid w:val="4DD2EBD3"/>
    <w:rsid w:val="500C24FE"/>
    <w:rsid w:val="568E8B30"/>
    <w:rsid w:val="5A5AF117"/>
    <w:rsid w:val="5F83F67C"/>
    <w:rsid w:val="65D49C39"/>
    <w:rsid w:val="678838A4"/>
    <w:rsid w:val="67D1C744"/>
    <w:rsid w:val="6C4EB0A6"/>
    <w:rsid w:val="6C633608"/>
    <w:rsid w:val="6F169C93"/>
    <w:rsid w:val="70A52625"/>
    <w:rsid w:val="771277AA"/>
    <w:rsid w:val="771F6607"/>
    <w:rsid w:val="7A3E1CC2"/>
    <w:rsid w:val="7CC0596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8"/>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6F169C93"/>
    <w:pPr>
      <w:widowControl w:val="0"/>
      <w:spacing w:after="0" w:line="300" w:lineRule="exact"/>
    </w:pPr>
    <w:rPr>
      <w:rFonts w:asciiTheme="minorHAnsi" w:eastAsiaTheme="minorEastAsia" w:hAnsiTheme="minorHAnsi"/>
      <w:sz w:val="22"/>
      <w:szCs w:val="22"/>
    </w:rPr>
  </w:style>
  <w:style w:type="character" w:customStyle="1" w:styleId="cf01">
    <w:name w:val="cf01"/>
    <w:basedOn w:val="DefaultParagraphFont"/>
    <w:rsid w:val="003F28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9</TotalTime>
  <Pages>4</Pages>
  <Words>772</Words>
  <Characters>3846</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20</cp:revision>
  <dcterms:created xsi:type="dcterms:W3CDTF">2025-05-08T14:39:00Z</dcterms:created>
  <dcterms:modified xsi:type="dcterms:W3CDTF">2025-05-08T14:50:00Z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ca0d30d9-8d9e-439e-a48a-3c30bae7df79</vt:lpwstr>
  </property>
</Properties>
</file>